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D6" w:rsidRPr="0056200D" w:rsidRDefault="002179D6" w:rsidP="0056200D">
      <w:pPr>
        <w:pStyle w:val="Default"/>
        <w:jc w:val="center"/>
        <w:rPr>
          <w:rFonts w:asciiTheme="minorHAnsi" w:hAnsiTheme="minorHAnsi"/>
          <w:b/>
          <w:bCs/>
          <w:caps/>
          <w:color w:val="auto"/>
          <w:sz w:val="40"/>
          <w:szCs w:val="40"/>
        </w:rPr>
      </w:pPr>
      <w:r w:rsidRPr="0056200D">
        <w:rPr>
          <w:rFonts w:asciiTheme="minorHAnsi" w:hAnsiTheme="minorHAnsi"/>
          <w:b/>
          <w:bCs/>
          <w:caps/>
          <w:color w:val="auto"/>
          <w:sz w:val="40"/>
          <w:szCs w:val="40"/>
        </w:rPr>
        <w:t xml:space="preserve">SDĚLENÍ k provozování a ke kontrole spalovacích stacionárních zdrojů o </w:t>
      </w:r>
      <w:r w:rsidR="006D469F" w:rsidRPr="0056200D">
        <w:rPr>
          <w:rFonts w:asciiTheme="minorHAnsi" w:hAnsiTheme="minorHAnsi"/>
          <w:b/>
          <w:bCs/>
          <w:caps/>
          <w:color w:val="auto"/>
          <w:sz w:val="40"/>
          <w:szCs w:val="40"/>
        </w:rPr>
        <w:t>jmenovitém tepelném příkonu 300 </w:t>
      </w:r>
      <w:r w:rsidRPr="0056200D">
        <w:rPr>
          <w:rFonts w:asciiTheme="minorHAnsi" w:hAnsiTheme="minorHAnsi"/>
          <w:b/>
          <w:bCs/>
          <w:caps/>
          <w:color w:val="auto"/>
          <w:sz w:val="40"/>
          <w:szCs w:val="40"/>
        </w:rPr>
        <w:t>kW a nižším</w:t>
      </w:r>
    </w:p>
    <w:p w:rsidR="0056200D" w:rsidRPr="0035234D" w:rsidRDefault="0056200D" w:rsidP="0056200D">
      <w:pPr>
        <w:pStyle w:val="Default"/>
        <w:jc w:val="center"/>
        <w:rPr>
          <w:rFonts w:asciiTheme="minorHAnsi" w:hAnsiTheme="minorHAnsi"/>
          <w:bCs/>
          <w:caps/>
          <w:color w:val="auto"/>
          <w:sz w:val="32"/>
          <w:szCs w:val="32"/>
        </w:rPr>
      </w:pPr>
      <w:r w:rsidRPr="0035234D">
        <w:rPr>
          <w:rFonts w:asciiTheme="minorHAnsi" w:hAnsiTheme="minorHAnsi"/>
          <w:bCs/>
          <w:caps/>
          <w:color w:val="auto"/>
          <w:sz w:val="32"/>
          <w:szCs w:val="32"/>
        </w:rPr>
        <w:t>(Zákon o ochraně ovzduší 201/2012 s</w:t>
      </w:r>
      <w:r w:rsidRPr="0035234D">
        <w:rPr>
          <w:rFonts w:asciiTheme="minorHAnsi" w:hAnsiTheme="minorHAnsi"/>
          <w:bCs/>
          <w:color w:val="auto"/>
          <w:sz w:val="32"/>
          <w:szCs w:val="32"/>
        </w:rPr>
        <w:t>b</w:t>
      </w:r>
      <w:r w:rsidRPr="0035234D">
        <w:rPr>
          <w:rFonts w:asciiTheme="minorHAnsi" w:hAnsiTheme="minorHAnsi"/>
          <w:bCs/>
          <w:caps/>
          <w:color w:val="auto"/>
          <w:sz w:val="32"/>
          <w:szCs w:val="32"/>
        </w:rPr>
        <w:t>.)</w:t>
      </w:r>
    </w:p>
    <w:p w:rsidR="002179D6" w:rsidRPr="002179D6" w:rsidRDefault="00385F46" w:rsidP="002179D6">
      <w:pPr>
        <w:pStyle w:val="Default"/>
        <w:jc w:val="both"/>
        <w:rPr>
          <w:rFonts w:asciiTheme="minorHAnsi" w:hAnsiTheme="minorHAnsi"/>
          <w:caps/>
        </w:rPr>
      </w:pPr>
      <w:r>
        <w:rPr>
          <w:rFonts w:asciiTheme="minorHAnsi" w:hAnsiTheme="minorHAnsi"/>
          <w:cap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5F995" wp14:editId="58049794">
                <wp:simplePos x="0" y="0"/>
                <wp:positionH relativeFrom="margin">
                  <wp:align>center</wp:align>
                </wp:positionH>
                <wp:positionV relativeFrom="paragraph">
                  <wp:posOffset>57785</wp:posOffset>
                </wp:positionV>
                <wp:extent cx="5749290" cy="0"/>
                <wp:effectExtent l="0" t="19050" r="11430" b="3810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9290" cy="0"/>
                        </a:xfrm>
                        <a:prstGeom prst="line">
                          <a:avLst/>
                        </a:prstGeom>
                        <a:ln w="6350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1000;mso-height-percent:0;mso-width-relative:margin;mso-height-relative:margin" from="0,4.55pt" to="452.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" strokecolor="black [3040]" strokeweight="5pt">
                <v:stroke linestyle="thinThin"/>
                <w10:wrap anchorx="margin"/>
              </v:line>
            </w:pict>
          </mc:Fallback>
        </mc:AlternateContent>
      </w:r>
    </w:p>
    <w:p w:rsidR="002179D6" w:rsidRPr="0056200D" w:rsidRDefault="002179D6" w:rsidP="002179D6">
      <w:pPr>
        <w:pStyle w:val="Default"/>
        <w:jc w:val="both"/>
        <w:rPr>
          <w:rFonts w:asciiTheme="minorHAnsi" w:hAnsiTheme="minorHAnsi"/>
        </w:rPr>
      </w:pPr>
    </w:p>
    <w:p w:rsidR="00DE61D0" w:rsidRPr="00DE61D0" w:rsidRDefault="00DE61D0" w:rsidP="002179D6">
      <w:pPr>
        <w:pStyle w:val="Default"/>
        <w:jc w:val="both"/>
        <w:rPr>
          <w:rFonts w:asciiTheme="minorHAnsi" w:hAnsiTheme="minorHAnsi"/>
        </w:rPr>
      </w:pPr>
      <w:r w:rsidRPr="00DE61D0">
        <w:rPr>
          <w:rFonts w:asciiTheme="minorHAnsi" w:hAnsiTheme="minorHAnsi"/>
        </w:rPr>
        <w:t xml:space="preserve">Podle ustanovení § 17 odst. 1 písm. h) zákona o ochraně ovzduší je </w:t>
      </w:r>
      <w:r w:rsidRPr="00DE61D0">
        <w:rPr>
          <w:rFonts w:asciiTheme="minorHAnsi" w:hAnsiTheme="minorHAnsi"/>
          <w:b/>
          <w:bCs/>
        </w:rPr>
        <w:t xml:space="preserve">provozovatel spalovacího stacionárního zdroje na pevná paliva </w:t>
      </w:r>
      <w:r w:rsidRPr="002179D6">
        <w:rPr>
          <w:rFonts w:asciiTheme="minorHAnsi" w:hAnsiTheme="minorHAnsi"/>
          <w:bCs/>
        </w:rPr>
        <w:t>o jmenovitém tepelném příkonu od 10 do 300 kW včetně,</w:t>
      </w:r>
      <w:r w:rsidRPr="00DE61D0">
        <w:rPr>
          <w:rFonts w:asciiTheme="minorHAnsi" w:hAnsiTheme="minorHAnsi"/>
          <w:b/>
          <w:bCs/>
        </w:rPr>
        <w:t xml:space="preserve"> který slouží jako zdroj tepla pro teplovodní soustavu ústředního vytápění </w:t>
      </w:r>
      <w:r w:rsidRPr="002179D6">
        <w:rPr>
          <w:rFonts w:asciiTheme="minorHAnsi" w:hAnsiTheme="minorHAnsi"/>
          <w:b/>
        </w:rPr>
        <w:t>povinen provádět jednou za dva kalendářní roky</w:t>
      </w:r>
      <w:r w:rsidRPr="00DE61D0">
        <w:rPr>
          <w:rFonts w:asciiTheme="minorHAnsi" w:hAnsiTheme="minorHAnsi"/>
        </w:rPr>
        <w:t xml:space="preserve"> prostřednictvím osoby, která byla proškolena výrobcem spalovacího stacionárního zdroje a má od něj udělené oprávnění k jeho instalaci, provozu a údržbě (dále jen „odborně způsobilá osoba“), </w:t>
      </w:r>
      <w:r w:rsidRPr="00D7114D">
        <w:rPr>
          <w:rFonts w:asciiTheme="minorHAnsi" w:hAnsiTheme="minorHAnsi"/>
          <w:b/>
        </w:rPr>
        <w:t>kontrolu technického stavu a provozu zdroje a předkládat na vyžádání obecnímu úřadu obce s rozšířenou působností doklad o provedení této kontroly</w:t>
      </w:r>
      <w:r w:rsidRPr="00DE61D0">
        <w:rPr>
          <w:rFonts w:asciiTheme="minorHAnsi" w:hAnsiTheme="minorHAnsi"/>
        </w:rPr>
        <w:t xml:space="preserve"> vystavený odborně způsobilou osobou potvrzující, že spalovací stacionární zdroj je instalován, provozován a udržován v souladu s pokyny výrobce a tímto zákonem. Provozovatelem zdroje se rozumí právnická anebo fyzická osoba, která zdroj skutečně provozuje; není-li taková osoba známá nebo neexistuje, považuje se za provozovatele vlastník spalovacího stacionárního zdroje. Provozovatel spalovacího stacionárního zdroje je povinen zajistit provedení první kontroly technického stavu a provozu zdroje podle 17 odst. 1 písm. h) </w:t>
      </w:r>
      <w:r w:rsidRPr="002179D6">
        <w:rPr>
          <w:rFonts w:asciiTheme="minorHAnsi" w:hAnsiTheme="minorHAnsi"/>
          <w:b/>
        </w:rPr>
        <w:t>nejpozději do 31. prosince 2016</w:t>
      </w:r>
      <w:r w:rsidRPr="00DE61D0">
        <w:rPr>
          <w:rFonts w:asciiTheme="minorHAnsi" w:hAnsiTheme="minorHAnsi"/>
        </w:rPr>
        <w:t xml:space="preserve">. </w:t>
      </w:r>
    </w:p>
    <w:p w:rsidR="00D63312" w:rsidRDefault="00DE61D0" w:rsidP="002179D6">
      <w:pPr>
        <w:spacing w:line="240" w:lineRule="auto"/>
        <w:jc w:val="both"/>
        <w:rPr>
          <w:sz w:val="24"/>
          <w:szCs w:val="24"/>
        </w:rPr>
      </w:pPr>
      <w:r w:rsidRPr="00DE61D0">
        <w:rPr>
          <w:sz w:val="24"/>
          <w:szCs w:val="24"/>
        </w:rPr>
        <w:t xml:space="preserve">Pokud provozovatel neprovede jednou za dva kalendářní roky prostřednictvím odborně způsobilé osoby kontrolu technického stavu a provozu tohoto spalovacího stacionárního zdroje nebo nepředloží na vyžádání obecnímu úřadu obce s rozšířenou působností potvrzení o provedení této kontroly tak, jak je zákonem vyžadováno, vystavuje se riziku uložení pokuty až do výše 20.000 Kč, jde-li o fyzickou osobu nepodnikající (srov. </w:t>
      </w:r>
      <w:proofErr w:type="spellStart"/>
      <w:r w:rsidRPr="00DE61D0">
        <w:rPr>
          <w:sz w:val="24"/>
          <w:szCs w:val="24"/>
        </w:rPr>
        <w:t>ust</w:t>
      </w:r>
      <w:proofErr w:type="spellEnd"/>
      <w:r w:rsidRPr="00DE61D0">
        <w:rPr>
          <w:sz w:val="24"/>
          <w:szCs w:val="24"/>
        </w:rPr>
        <w:t xml:space="preserve">. § 23 odst. 1 písm. h) ve spojení s </w:t>
      </w:r>
      <w:proofErr w:type="spellStart"/>
      <w:r w:rsidRPr="00DE61D0">
        <w:rPr>
          <w:sz w:val="24"/>
          <w:szCs w:val="24"/>
        </w:rPr>
        <w:t>ust</w:t>
      </w:r>
      <w:proofErr w:type="spellEnd"/>
      <w:r w:rsidRPr="00DE61D0">
        <w:rPr>
          <w:sz w:val="24"/>
          <w:szCs w:val="24"/>
        </w:rPr>
        <w:t xml:space="preserve">. § 23 odst. 2 zákona) anebo až do výše 50.000 Kč, jde-li o podnikající fyzickou osobu nebo osobu právnickou (viz </w:t>
      </w:r>
      <w:proofErr w:type="spellStart"/>
      <w:r w:rsidRPr="00DE61D0">
        <w:rPr>
          <w:sz w:val="24"/>
          <w:szCs w:val="24"/>
        </w:rPr>
        <w:t>ust</w:t>
      </w:r>
      <w:proofErr w:type="spellEnd"/>
      <w:r w:rsidRPr="00DE61D0">
        <w:rPr>
          <w:sz w:val="24"/>
          <w:szCs w:val="24"/>
        </w:rPr>
        <w:t>. § 25 odst. 1 písm. o) ve spojení s ust. § 25 odst. 7 písm. d) zákona).</w:t>
      </w:r>
    </w:p>
    <w:p w:rsidR="002179D6" w:rsidRDefault="002179D6" w:rsidP="002179D6">
      <w:pPr>
        <w:spacing w:line="240" w:lineRule="auto"/>
        <w:jc w:val="both"/>
        <w:rPr>
          <w:sz w:val="24"/>
          <w:szCs w:val="24"/>
        </w:rPr>
      </w:pPr>
    </w:p>
    <w:p w:rsidR="00FA1877" w:rsidRPr="008700D3" w:rsidRDefault="00FA1877" w:rsidP="002179D6">
      <w:pPr>
        <w:spacing w:line="240" w:lineRule="auto"/>
        <w:jc w:val="both"/>
        <w:rPr>
          <w:b/>
          <w:caps/>
          <w:sz w:val="24"/>
          <w:szCs w:val="24"/>
        </w:rPr>
      </w:pPr>
      <w:r w:rsidRPr="008700D3">
        <w:rPr>
          <w:b/>
          <w:caps/>
          <w:sz w:val="24"/>
          <w:szCs w:val="24"/>
        </w:rPr>
        <w:t xml:space="preserve">Seznam osob proškolených </w:t>
      </w:r>
      <w:r w:rsidR="008700D3">
        <w:rPr>
          <w:b/>
          <w:caps/>
          <w:sz w:val="24"/>
          <w:szCs w:val="24"/>
        </w:rPr>
        <w:t xml:space="preserve">výrobci a oprávněných </w:t>
      </w:r>
      <w:r w:rsidR="008700D3" w:rsidRPr="008700D3">
        <w:rPr>
          <w:b/>
          <w:caps/>
          <w:sz w:val="24"/>
          <w:szCs w:val="24"/>
        </w:rPr>
        <w:t>k</w:t>
      </w:r>
      <w:r w:rsidR="008700D3">
        <w:rPr>
          <w:b/>
          <w:caps/>
          <w:sz w:val="24"/>
          <w:szCs w:val="24"/>
        </w:rPr>
        <w:t>e</w:t>
      </w:r>
      <w:r w:rsidR="008700D3" w:rsidRPr="008700D3">
        <w:rPr>
          <w:b/>
          <w:caps/>
          <w:sz w:val="24"/>
          <w:szCs w:val="24"/>
        </w:rPr>
        <w:t xml:space="preserve"> kontrole </w:t>
      </w:r>
      <w:r w:rsidRPr="008700D3">
        <w:rPr>
          <w:b/>
          <w:caps/>
          <w:sz w:val="24"/>
          <w:szCs w:val="24"/>
        </w:rPr>
        <w:t>spalov</w:t>
      </w:r>
      <w:r w:rsidR="008700D3" w:rsidRPr="008700D3">
        <w:rPr>
          <w:b/>
          <w:caps/>
          <w:sz w:val="24"/>
          <w:szCs w:val="24"/>
        </w:rPr>
        <w:t xml:space="preserve">acích stacionárních zdrojů naleznete </w:t>
      </w:r>
      <w:proofErr w:type="gramStart"/>
      <w:r w:rsidR="008700D3" w:rsidRPr="008700D3">
        <w:rPr>
          <w:b/>
          <w:caps/>
          <w:sz w:val="24"/>
          <w:szCs w:val="24"/>
        </w:rPr>
        <w:t>na</w:t>
      </w:r>
      <w:proofErr w:type="gramEnd"/>
      <w:r w:rsidR="008700D3" w:rsidRPr="008700D3">
        <w:rPr>
          <w:b/>
          <w:caps/>
          <w:sz w:val="24"/>
          <w:szCs w:val="24"/>
        </w:rPr>
        <w:t>:</w:t>
      </w:r>
    </w:p>
    <w:p w:rsidR="008700D3" w:rsidRPr="003940CD" w:rsidRDefault="003940CD" w:rsidP="002179D6">
      <w:pPr>
        <w:spacing w:line="240" w:lineRule="auto"/>
        <w:jc w:val="both"/>
        <w:rPr>
          <w:sz w:val="24"/>
          <w:szCs w:val="24"/>
        </w:rPr>
      </w:pPr>
      <w:hyperlink r:id="rId5" w:history="1">
        <w:r w:rsidR="008700D3" w:rsidRPr="003940CD">
          <w:rPr>
            <w:rStyle w:val="Hypertextovodkaz"/>
            <w:sz w:val="24"/>
            <w:szCs w:val="24"/>
            <w:u w:val="none"/>
          </w:rPr>
          <w:t>http://www.aptt.cz/opravneni-ozo.php?firma</w:t>
        </w:r>
        <w:r w:rsidR="008700D3" w:rsidRPr="003940CD">
          <w:rPr>
            <w:rStyle w:val="Hypertextovodkaz"/>
            <w:sz w:val="24"/>
            <w:szCs w:val="24"/>
            <w:u w:val="none"/>
          </w:rPr>
          <w:t>_</w:t>
        </w:r>
        <w:r w:rsidR="008700D3" w:rsidRPr="003940CD">
          <w:rPr>
            <w:rStyle w:val="Hypertextovodkaz"/>
            <w:sz w:val="24"/>
            <w:szCs w:val="24"/>
            <w:u w:val="none"/>
          </w:rPr>
          <w:t>id=all</w:t>
        </w:r>
      </w:hyperlink>
    </w:p>
    <w:p w:rsidR="008700D3" w:rsidRDefault="008700D3" w:rsidP="002179D6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56200D" w:rsidRPr="003940CD" w:rsidRDefault="002179D6" w:rsidP="002179D6">
      <w:pPr>
        <w:spacing w:line="240" w:lineRule="auto"/>
        <w:jc w:val="both"/>
        <w:rPr>
          <w:b/>
          <w:caps/>
          <w:sz w:val="24"/>
          <w:szCs w:val="24"/>
        </w:rPr>
      </w:pPr>
      <w:r w:rsidRPr="003940CD">
        <w:rPr>
          <w:b/>
          <w:caps/>
          <w:sz w:val="24"/>
          <w:szCs w:val="24"/>
        </w:rPr>
        <w:t xml:space="preserve">Bližší informace naleznete </w:t>
      </w:r>
      <w:proofErr w:type="gramStart"/>
      <w:r w:rsidRPr="003940CD">
        <w:rPr>
          <w:b/>
          <w:caps/>
          <w:sz w:val="24"/>
          <w:szCs w:val="24"/>
        </w:rPr>
        <w:t>na</w:t>
      </w:r>
      <w:proofErr w:type="gramEnd"/>
      <w:r w:rsidRPr="003940CD">
        <w:rPr>
          <w:b/>
          <w:caps/>
          <w:sz w:val="24"/>
          <w:szCs w:val="24"/>
        </w:rPr>
        <w:t>:</w:t>
      </w:r>
    </w:p>
    <w:p w:rsidR="002179D6" w:rsidRPr="003940CD" w:rsidRDefault="003940CD" w:rsidP="008700D3">
      <w:pPr>
        <w:spacing w:line="240" w:lineRule="auto"/>
        <w:jc w:val="both"/>
        <w:rPr>
          <w:sz w:val="24"/>
          <w:szCs w:val="24"/>
        </w:rPr>
      </w:pPr>
      <w:hyperlink r:id="rId6" w:history="1">
        <w:r w:rsidR="008700D3" w:rsidRPr="003940CD">
          <w:rPr>
            <w:rStyle w:val="Hypertextovodkaz"/>
            <w:sz w:val="24"/>
            <w:szCs w:val="24"/>
            <w:u w:val="none"/>
          </w:rPr>
          <w:t>http://www.mzp.cz/cz/spalovaci_stacionarni_zdroje_300kW_sdeleni</w:t>
        </w:r>
      </w:hyperlink>
    </w:p>
    <w:sectPr w:rsidR="002179D6" w:rsidRPr="00394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D0"/>
    <w:rsid w:val="002179D6"/>
    <w:rsid w:val="0035234D"/>
    <w:rsid w:val="00385F46"/>
    <w:rsid w:val="003940CD"/>
    <w:rsid w:val="0056200D"/>
    <w:rsid w:val="006D469F"/>
    <w:rsid w:val="008700D3"/>
    <w:rsid w:val="00D63312"/>
    <w:rsid w:val="00D7114D"/>
    <w:rsid w:val="00DE61D0"/>
    <w:rsid w:val="00FA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E6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700D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620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E6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700D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620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zp.cz/cz/spalovaci_stacionarni_zdroje_300kW_sdeleni" TargetMode="External"/><Relationship Id="rId5" Type="http://schemas.openxmlformats.org/officeDocument/2006/relationships/hyperlink" Target="http://www.aptt.cz/opravneni-ozo.php?firma_id=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6</cp:revision>
  <dcterms:created xsi:type="dcterms:W3CDTF">2016-06-03T04:54:00Z</dcterms:created>
  <dcterms:modified xsi:type="dcterms:W3CDTF">2016-06-05T08:18:00Z</dcterms:modified>
</cp:coreProperties>
</file>